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7777777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</w:p>
          <w:p w14:paraId="10D09785" w14:textId="3066A298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7A7E15">
              <w:rPr>
                <w:rFonts w:ascii="Arial" w:hAnsi="Arial" w:cs="Arial"/>
                <w:b/>
                <w:bCs/>
              </w:rPr>
              <w:t>5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7A7E15" w:rsidRPr="007A7E15">
              <w:rPr>
                <w:rFonts w:ascii="Arial" w:hAnsi="Arial" w:cs="Arial"/>
                <w:b/>
                <w:bCs/>
              </w:rPr>
              <w:t>Wellbeing</w:t>
            </w:r>
            <w:proofErr w:type="spellEnd"/>
            <w:r w:rsidR="007A7E15" w:rsidRPr="007A7E15">
              <w:rPr>
                <w:rFonts w:ascii="Arial" w:hAnsi="Arial" w:cs="Arial"/>
                <w:b/>
                <w:bCs/>
              </w:rPr>
              <w:t xml:space="preserve"> učitele školy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27991EC3" w14:textId="440595BF" w:rsidR="00247745" w:rsidRPr="001D5358" w:rsidRDefault="007A7E15" w:rsidP="007A7E1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7E15">
              <w:rPr>
                <w:rFonts w:ascii="Arial" w:hAnsi="Arial" w:cs="Arial"/>
                <w:b/>
                <w:sz w:val="20"/>
                <w:szCs w:val="20"/>
              </w:rPr>
              <w:t xml:space="preserve">Část 5 </w:t>
            </w:r>
            <w:proofErr w:type="spellStart"/>
            <w:r w:rsidRPr="007A7E15">
              <w:rPr>
                <w:rFonts w:ascii="Arial" w:hAnsi="Arial" w:cs="Arial"/>
                <w:b/>
                <w:sz w:val="20"/>
                <w:szCs w:val="20"/>
              </w:rPr>
              <w:t>Wellbeing</w:t>
            </w:r>
            <w:proofErr w:type="spellEnd"/>
            <w:r w:rsidRPr="007A7E15">
              <w:rPr>
                <w:rFonts w:ascii="Arial" w:hAnsi="Arial" w:cs="Arial"/>
                <w:b/>
                <w:sz w:val="20"/>
                <w:szCs w:val="20"/>
              </w:rPr>
              <w:t xml:space="preserve"> učitele školy</w:t>
            </w:r>
          </w:p>
        </w:tc>
      </w:tr>
      <w:tr w:rsidR="00247745" w:rsidRPr="004763CF" w14:paraId="6BE3C62F" w14:textId="77777777" w:rsidTr="00D77565">
        <w:tc>
          <w:tcPr>
            <w:tcW w:w="5704" w:type="dxa"/>
            <w:shd w:val="clear" w:color="auto" w:fill="C6D9F1" w:themeFill="text2" w:themeFillTint="33"/>
          </w:tcPr>
          <w:p w14:paraId="3C6E7D67" w14:textId="7A0130DA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bez DPH</w:t>
            </w:r>
          </w:p>
        </w:tc>
        <w:tc>
          <w:tcPr>
            <w:tcW w:w="3368" w:type="dxa"/>
            <w:shd w:val="clear" w:color="auto" w:fill="C6D9F1" w:themeFill="text2" w:themeFillTint="33"/>
          </w:tcPr>
          <w:p w14:paraId="75CD9BED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7203907D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1C36F947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DPH z celkové nabídkové ceny v Kč samostatně</w:t>
            </w:r>
          </w:p>
        </w:tc>
        <w:tc>
          <w:tcPr>
            <w:tcW w:w="3368" w:type="dxa"/>
            <w:shd w:val="clear" w:color="auto" w:fill="FFFFFF" w:themeFill="background1"/>
          </w:tcPr>
          <w:p w14:paraId="0405EA8B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32DEB2C" w14:textId="57407530" w:rsidR="000724C2" w:rsidRPr="00723145" w:rsidRDefault="00BB1209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Profesní životopis lektora: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2FC0E0" w14:textId="77777777" w:rsidR="000724C2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</w:t>
            </w:r>
            <w:r w:rsidR="002A2A6E">
              <w:rPr>
                <w:rFonts w:ascii="Arial" w:hAnsi="Arial" w:cs="Arial"/>
                <w:b/>
                <w:bCs/>
                <w:sz w:val="20"/>
                <w:szCs w:val="20"/>
              </w:rPr>
              <w:t>lektora</w:t>
            </w:r>
          </w:p>
          <w:p w14:paraId="77776932" w14:textId="162581F3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579126B" w14:textId="37F6FC67" w:rsidR="002A2A6E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3A3AD61" w14:textId="193DCCF1" w:rsidR="002A2A6E" w:rsidRPr="00723145" w:rsidRDefault="002A2A6E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efonní číslo: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3FF4A4" w14:textId="25F4F809" w:rsidR="000724C2" w:rsidRPr="00723145" w:rsidRDefault="002A2A6E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A6E">
              <w:rPr>
                <w:rFonts w:ascii="Arial" w:hAnsi="Arial" w:cs="Arial"/>
                <w:b/>
                <w:bCs/>
                <w:sz w:val="20"/>
                <w:szCs w:val="20"/>
              </w:rPr>
              <w:t>Ukončené odborné vzdělání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23F9CA7C" w:rsidR="0044001A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Praxe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94E1C4E" w14:textId="376C9479" w:rsidR="00BB1209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Lektorské služby – specifikace</w:t>
            </w:r>
          </w:p>
          <w:p w14:paraId="0A2D27B1" w14:textId="40D9CB31" w:rsidR="00BB1209" w:rsidRPr="00723145" w:rsidRDefault="00BB1209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kdy</w:t>
            </w:r>
            <w:r w:rsidR="009E7B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2A99A77" w14:textId="46F98146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2F357F0C" w:rsidR="0044001A" w:rsidRPr="00723145" w:rsidRDefault="00BB1209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  <w:r w:rsidR="0044001A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033FB9" w14:textId="77777777" w:rsidR="001D66E7" w:rsidRPr="001D66E7" w:rsidRDefault="001D66E7" w:rsidP="001D66E7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66E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Počet hodin vzdělávací akce: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NE - doplní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7F1D0E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7F1D0E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E8168" w14:textId="77777777" w:rsidR="0084216B" w:rsidRDefault="0084216B" w:rsidP="002002D1">
      <w:pPr>
        <w:spacing w:after="0" w:line="240" w:lineRule="auto"/>
      </w:pPr>
      <w:r>
        <w:separator/>
      </w:r>
    </w:p>
  </w:endnote>
  <w:endnote w:type="continuationSeparator" w:id="0">
    <w:p w14:paraId="08130B86" w14:textId="77777777" w:rsidR="0084216B" w:rsidRDefault="0084216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CC72" w14:textId="77777777" w:rsidR="009D4AAB" w:rsidRDefault="009D4A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73A49" w14:textId="77777777" w:rsidR="009D4AAB" w:rsidRDefault="009D4A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3A974" w14:textId="77777777" w:rsidR="0084216B" w:rsidRDefault="0084216B" w:rsidP="002002D1">
      <w:pPr>
        <w:spacing w:after="0" w:line="240" w:lineRule="auto"/>
      </w:pPr>
      <w:r>
        <w:separator/>
      </w:r>
    </w:p>
  </w:footnote>
  <w:footnote w:type="continuationSeparator" w:id="0">
    <w:p w14:paraId="3C8FF362" w14:textId="77777777" w:rsidR="0084216B" w:rsidRDefault="0084216B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8FED" w14:textId="77777777" w:rsidR="009D4AAB" w:rsidRDefault="009D4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0405D0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7A7E15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63C0" w14:textId="77777777" w:rsidR="009D4AAB" w:rsidRDefault="009D4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371BA"/>
    <w:rsid w:val="00150A9A"/>
    <w:rsid w:val="001579B1"/>
    <w:rsid w:val="00166910"/>
    <w:rsid w:val="001707B7"/>
    <w:rsid w:val="001923B4"/>
    <w:rsid w:val="00195E75"/>
    <w:rsid w:val="001A0B02"/>
    <w:rsid w:val="001B0C12"/>
    <w:rsid w:val="001B595C"/>
    <w:rsid w:val="001C3178"/>
    <w:rsid w:val="001C572D"/>
    <w:rsid w:val="001D08B5"/>
    <w:rsid w:val="001D5358"/>
    <w:rsid w:val="001D66E7"/>
    <w:rsid w:val="001D75A6"/>
    <w:rsid w:val="001E554C"/>
    <w:rsid w:val="002002D1"/>
    <w:rsid w:val="00215AA4"/>
    <w:rsid w:val="002416BD"/>
    <w:rsid w:val="00247745"/>
    <w:rsid w:val="00250033"/>
    <w:rsid w:val="002540F6"/>
    <w:rsid w:val="00262118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2A1D"/>
    <w:rsid w:val="006052E2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43A79"/>
    <w:rsid w:val="00765961"/>
    <w:rsid w:val="00772608"/>
    <w:rsid w:val="00773A55"/>
    <w:rsid w:val="00795AA4"/>
    <w:rsid w:val="007A10ED"/>
    <w:rsid w:val="007A7E15"/>
    <w:rsid w:val="007B26A3"/>
    <w:rsid w:val="007C4888"/>
    <w:rsid w:val="007C4F6B"/>
    <w:rsid w:val="007C5C8C"/>
    <w:rsid w:val="007D3A71"/>
    <w:rsid w:val="007D4F39"/>
    <w:rsid w:val="007E474B"/>
    <w:rsid w:val="007E639A"/>
    <w:rsid w:val="007F08B2"/>
    <w:rsid w:val="007F1D0E"/>
    <w:rsid w:val="007F1E97"/>
    <w:rsid w:val="008100EB"/>
    <w:rsid w:val="00810230"/>
    <w:rsid w:val="00813E58"/>
    <w:rsid w:val="0084216B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D4AAB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5F63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CE645D"/>
    <w:rsid w:val="00D14ECC"/>
    <w:rsid w:val="00D445C9"/>
    <w:rsid w:val="00D55238"/>
    <w:rsid w:val="00D57789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83568"/>
    <w:rsid w:val="00EB27FA"/>
    <w:rsid w:val="00EB2BDF"/>
    <w:rsid w:val="00EB56D2"/>
    <w:rsid w:val="00EB61B6"/>
    <w:rsid w:val="00EC77F4"/>
    <w:rsid w:val="00EC7B20"/>
    <w:rsid w:val="00ED1458"/>
    <w:rsid w:val="00ED76F2"/>
    <w:rsid w:val="00EE1F0C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835"/>
    <w:rsid w:val="00FB49D1"/>
    <w:rsid w:val="00FE6B74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975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Jakub Klimeš</cp:lastModifiedBy>
  <cp:revision>2</cp:revision>
  <dcterms:created xsi:type="dcterms:W3CDTF">2025-04-02T11:24:00Z</dcterms:created>
  <dcterms:modified xsi:type="dcterms:W3CDTF">2025-04-02T11:24:00Z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